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C6903D"/>
          <w:sz w:val="18"/>
        </w:rPr>
        <w:t>PRACTICAL INTERIM BUSINESS AGREEMENT</w:t>
      </w:r>
    </w:p>
    <w:p>
      <w:pPr>
        <w:pStyle w:val="Title"/>
      </w:pPr>
      <w:r>
        <w:t>Local Growth Department</w:t>
        <w:br/>
        <w:t>Service Agreement</w:t>
      </w:r>
    </w:p>
    <w:p>
      <w:pPr>
        <w:pStyle w:val="Subtitle"/>
      </w:pPr>
      <w:r>
        <w:t>Plain-language terms for marketing, creative, technology, direct-mail, and audio services</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shd w:fill="FFF4DF"/>
            <w:tcMar>
              <w:top w:w="140" w:type="dxa"/>
              <w:start w:w="180" w:type="dxa"/>
              <w:bottom w:w="140" w:type="dxa"/>
              <w:end w:w="180" w:type="dxa"/>
              <w:top w:w="90" w:type="dxa"/>
              <w:start w:w="130" w:type="dxa"/>
              <w:bottom w:w="90" w:type="dxa"/>
              <w:end w:w="130" w:type="dxa"/>
            </w:tcMar>
          </w:tcPr>
          <w:p>
            <w:r>
              <w:rPr>
                <w:b/>
                <w:color w:val="17324D"/>
              </w:rPr>
              <w:t xml:space="preserve">Important: </w:t>
            </w:r>
            <w:r>
              <w:t>This is a business contract template, not legal advice. It is designed for practical interim use. Local Growth Department (LGD) should have a licensed Florida attorney review it as soon as the business can reasonably do so.</w:t>
            </w:r>
          </w:p>
        </w:tc>
      </w:tr>
    </w:tbl>
    <w:p>
      <w:pPr>
        <w:spacing w:after="20"/>
      </w:pPr>
    </w:p>
    <w:tbl>
      <w:tblPr>
        <w:tblStyle w:val="TableGrid"/>
        <w:tblW w:type="dxa" w:w="9360"/>
        <w:jc w:val="left"/>
        <w:tblLayout w:type="fixed"/>
        <w:tblLook w:firstColumn="1" w:firstRow="1" w:lastColumn="0" w:lastRow="0" w:noHBand="0" w:noVBand="1" w:val="04A0"/>
        <w:tblInd w:w="120" w:type="dxa"/>
      </w:tblPr>
      <w:tblGrid>
        <w:gridCol w:w="2500"/>
        <w:gridCol w:w="6860"/>
      </w:tblGrid>
      <w:tr>
        <w:trPr>
          <w:cantSplit/>
        </w:trPr>
        <w:tc>
          <w:tcPr>
            <w:tcW w:type="dxa" w:w="2500"/>
            <w:shd w:fill="EAF2F7"/>
            <w:vAlign w:val="center"/>
            <w:tcMar>
              <w:top w:w="90" w:type="dxa"/>
              <w:start w:w="130" w:type="dxa"/>
              <w:bottom w:w="90" w:type="dxa"/>
              <w:end w:w="130" w:type="dxa"/>
            </w:tcMar>
          </w:tcPr>
          <w:p>
            <w:r>
              <w:rPr>
                <w:b/>
              </w:rPr>
              <w:t>Agreement date</w:t>
            </w:r>
          </w:p>
        </w:tc>
        <w:tc>
          <w:tcPr>
            <w:tcW w:type="dxa" w:w="6860"/>
            <w:vAlign w:val="center"/>
            <w:tcMar>
              <w:top w:w="90" w:type="dxa"/>
              <w:start w:w="130" w:type="dxa"/>
              <w:bottom w:w="90" w:type="dxa"/>
              <w:end w:w="130" w:type="dxa"/>
            </w:tcMar>
          </w:tcPr>
          <w:p>
            <w:r>
              <w:t>[DATE]</w:t>
            </w:r>
          </w:p>
        </w:tc>
      </w:tr>
      <w:tr>
        <w:trPr>
          <w:cantSplit/>
        </w:trPr>
        <w:tc>
          <w:tcPr>
            <w:tcW w:type="dxa" w:w="2500"/>
            <w:shd w:fill="EAF2F7"/>
            <w:vAlign w:val="center"/>
            <w:tcMar>
              <w:top w:w="90" w:type="dxa"/>
              <w:start w:w="130" w:type="dxa"/>
              <w:bottom w:w="90" w:type="dxa"/>
              <w:end w:w="130" w:type="dxa"/>
            </w:tcMar>
          </w:tcPr>
          <w:p>
            <w:r>
              <w:rPr>
                <w:b/>
              </w:rPr>
              <w:t>LGD legal name</w:t>
            </w:r>
          </w:p>
        </w:tc>
        <w:tc>
          <w:tcPr>
            <w:tcW w:type="dxa" w:w="6860"/>
            <w:vAlign w:val="center"/>
            <w:tcMar>
              <w:top w:w="90" w:type="dxa"/>
              <w:start w:w="130" w:type="dxa"/>
              <w:bottom w:w="90" w:type="dxa"/>
              <w:end w:w="130" w:type="dxa"/>
            </w:tcMar>
          </w:tcPr>
          <w:p>
            <w:r>
              <w:t>[FULL LEGAL BUSINESS NAME / DBA LOCAL GROWTH DEPARTMENT]</w:t>
            </w:r>
          </w:p>
        </w:tc>
      </w:tr>
      <w:tr>
        <w:trPr>
          <w:cantSplit/>
        </w:trPr>
        <w:tc>
          <w:tcPr>
            <w:tcW w:type="dxa" w:w="2500"/>
            <w:shd w:fill="EAF2F7"/>
            <w:vAlign w:val="center"/>
            <w:tcMar>
              <w:top w:w="90" w:type="dxa"/>
              <w:start w:w="130" w:type="dxa"/>
              <w:bottom w:w="90" w:type="dxa"/>
              <w:end w:w="130" w:type="dxa"/>
            </w:tcMar>
          </w:tcPr>
          <w:p>
            <w:r>
              <w:rPr>
                <w:b/>
              </w:rPr>
              <w:t>LGD address</w:t>
            </w:r>
          </w:p>
        </w:tc>
        <w:tc>
          <w:tcPr>
            <w:tcW w:type="dxa" w:w="6860"/>
            <w:vAlign w:val="center"/>
            <w:tcMar>
              <w:top w:w="90" w:type="dxa"/>
              <w:start w:w="130" w:type="dxa"/>
              <w:bottom w:w="90" w:type="dxa"/>
              <w:end w:w="130" w:type="dxa"/>
            </w:tcMar>
          </w:tcPr>
          <w:p>
            <w:r>
              <w:t>[STREET, CITY, FL ZIP]</w:t>
            </w:r>
          </w:p>
        </w:tc>
      </w:tr>
      <w:tr>
        <w:trPr>
          <w:cantSplit/>
        </w:trPr>
        <w:tc>
          <w:tcPr>
            <w:tcW w:type="dxa" w:w="2500"/>
            <w:shd w:fill="EAF2F7"/>
            <w:vAlign w:val="center"/>
            <w:tcMar>
              <w:top w:w="90" w:type="dxa"/>
              <w:start w:w="130" w:type="dxa"/>
              <w:bottom w:w="90" w:type="dxa"/>
              <w:end w:w="130" w:type="dxa"/>
            </w:tcMar>
          </w:tcPr>
          <w:p>
            <w:r>
              <w:rPr>
                <w:b/>
              </w:rPr>
              <w:t>LGD email</w:t>
            </w:r>
          </w:p>
        </w:tc>
        <w:tc>
          <w:tcPr>
            <w:tcW w:type="dxa" w:w="6860"/>
            <w:vAlign w:val="center"/>
            <w:tcMar>
              <w:top w:w="90" w:type="dxa"/>
              <w:start w:w="130" w:type="dxa"/>
              <w:bottom w:w="90" w:type="dxa"/>
              <w:end w:w="130" w:type="dxa"/>
            </w:tcMar>
          </w:tcPr>
          <w:p>
            <w:r>
              <w:t>[CONTRACT / NOTICE EMAIL]</w:t>
            </w:r>
          </w:p>
        </w:tc>
      </w:tr>
      <w:tr>
        <w:trPr>
          <w:cantSplit/>
        </w:trPr>
        <w:tc>
          <w:tcPr>
            <w:tcW w:type="dxa" w:w="2500"/>
            <w:shd w:fill="EAF2F7"/>
            <w:vAlign w:val="center"/>
            <w:tcMar>
              <w:top w:w="90" w:type="dxa"/>
              <w:start w:w="130" w:type="dxa"/>
              <w:bottom w:w="90" w:type="dxa"/>
              <w:end w:w="130" w:type="dxa"/>
            </w:tcMar>
          </w:tcPr>
          <w:p>
            <w:r>
              <w:rPr>
                <w:b/>
              </w:rPr>
              <w:t>Client legal name</w:t>
            </w:r>
          </w:p>
        </w:tc>
        <w:tc>
          <w:tcPr>
            <w:tcW w:type="dxa" w:w="6860"/>
            <w:vAlign w:val="center"/>
            <w:tcMar>
              <w:top w:w="90" w:type="dxa"/>
              <w:start w:w="130" w:type="dxa"/>
              <w:bottom w:w="90" w:type="dxa"/>
              <w:end w:w="130" w:type="dxa"/>
            </w:tcMar>
          </w:tcPr>
          <w:p>
            <w:r>
              <w:t>[CLIENT LEGAL NAME]</w:t>
            </w:r>
          </w:p>
        </w:tc>
      </w:tr>
      <w:tr>
        <w:trPr>
          <w:cantSplit/>
        </w:trPr>
        <w:tc>
          <w:tcPr>
            <w:tcW w:type="dxa" w:w="2500"/>
            <w:shd w:fill="EAF2F7"/>
            <w:vAlign w:val="center"/>
            <w:tcMar>
              <w:top w:w="90" w:type="dxa"/>
              <w:start w:w="130" w:type="dxa"/>
              <w:bottom w:w="90" w:type="dxa"/>
              <w:end w:w="130" w:type="dxa"/>
            </w:tcMar>
          </w:tcPr>
          <w:p>
            <w:r>
              <w:rPr>
                <w:b/>
              </w:rPr>
              <w:t>Client business / DBA</w:t>
            </w:r>
          </w:p>
        </w:tc>
        <w:tc>
          <w:tcPr>
            <w:tcW w:type="dxa" w:w="6860"/>
            <w:vAlign w:val="center"/>
            <w:tcMar>
              <w:top w:w="90" w:type="dxa"/>
              <w:start w:w="130" w:type="dxa"/>
              <w:bottom w:w="90" w:type="dxa"/>
              <w:end w:w="130" w:type="dxa"/>
            </w:tcMar>
          </w:tcPr>
          <w:p>
            <w:r>
              <w:t>[BUSINESS NAME]</w:t>
            </w:r>
          </w:p>
        </w:tc>
      </w:tr>
      <w:tr>
        <w:trPr>
          <w:cantSplit/>
        </w:trPr>
        <w:tc>
          <w:tcPr>
            <w:tcW w:type="dxa" w:w="2500"/>
            <w:shd w:fill="EAF2F7"/>
            <w:vAlign w:val="center"/>
            <w:tcMar>
              <w:top w:w="90" w:type="dxa"/>
              <w:start w:w="130" w:type="dxa"/>
              <w:bottom w:w="90" w:type="dxa"/>
              <w:end w:w="130" w:type="dxa"/>
            </w:tcMar>
          </w:tcPr>
          <w:p>
            <w:r>
              <w:rPr>
                <w:b/>
              </w:rPr>
              <w:t>Client address</w:t>
            </w:r>
          </w:p>
        </w:tc>
        <w:tc>
          <w:tcPr>
            <w:tcW w:type="dxa" w:w="6860"/>
            <w:vAlign w:val="center"/>
            <w:tcMar>
              <w:top w:w="90" w:type="dxa"/>
              <w:start w:w="130" w:type="dxa"/>
              <w:bottom w:w="90" w:type="dxa"/>
              <w:end w:w="130" w:type="dxa"/>
            </w:tcMar>
          </w:tcPr>
          <w:p>
            <w:r>
              <w:t>[STREET, CITY, STATE ZIP]</w:t>
            </w:r>
          </w:p>
        </w:tc>
      </w:tr>
      <w:tr>
        <w:trPr>
          <w:cantSplit/>
        </w:trPr>
        <w:tc>
          <w:tcPr>
            <w:tcW w:type="dxa" w:w="2500"/>
            <w:shd w:fill="EAF2F7"/>
            <w:vAlign w:val="center"/>
            <w:tcMar>
              <w:top w:w="90" w:type="dxa"/>
              <w:start w:w="130" w:type="dxa"/>
              <w:bottom w:w="90" w:type="dxa"/>
              <w:end w:w="130" w:type="dxa"/>
            </w:tcMar>
          </w:tcPr>
          <w:p>
            <w:r>
              <w:rPr>
                <w:b/>
              </w:rPr>
              <w:t>Client email</w:t>
            </w:r>
          </w:p>
        </w:tc>
        <w:tc>
          <w:tcPr>
            <w:tcW w:type="dxa" w:w="6860"/>
            <w:vAlign w:val="center"/>
            <w:tcMar>
              <w:top w:w="90" w:type="dxa"/>
              <w:start w:w="130" w:type="dxa"/>
              <w:bottom w:w="90" w:type="dxa"/>
              <w:end w:w="130" w:type="dxa"/>
            </w:tcMar>
          </w:tcPr>
          <w:p>
            <w:r>
              <w:t>[EMAIL]</w:t>
            </w:r>
          </w:p>
        </w:tc>
      </w:tr>
    </w:tbl>
    <w:p>
      <w:pPr>
        <w:spacing w:after="20"/>
      </w:pPr>
    </w:p>
    <w:p>
      <w:pPr>
        <w:pStyle w:val="Heading1"/>
      </w:pPr>
      <w:r>
        <w:t>Order details</w:t>
      </w:r>
    </w:p>
    <w:p>
      <w:r>
        <w:t>The order form, proposal, checkout page, or invoice accepted with this Agreement is called the “Order.” The Order should list the exact services, price, setup fee, billing date, approved promo code, taxes, start date, and any special terms.</w:t>
      </w:r>
    </w:p>
    <w:tbl>
      <w:tblPr>
        <w:tblStyle w:val="TableGrid"/>
        <w:tblW w:type="dxa" w:w="9360"/>
        <w:jc w:val="left"/>
        <w:tblLayout w:type="fixed"/>
        <w:tblLook w:firstColumn="1" w:firstRow="1" w:lastColumn="0" w:lastRow="0" w:noHBand="0" w:noVBand="1" w:val="04A0"/>
        <w:tblInd w:w="120" w:type="dxa"/>
      </w:tblPr>
      <w:tblGrid>
        <w:gridCol w:w="2500"/>
        <w:gridCol w:w="6860"/>
      </w:tblGrid>
      <w:tr>
        <w:trPr>
          <w:cantSplit/>
        </w:trPr>
        <w:tc>
          <w:tcPr>
            <w:tcW w:type="dxa" w:w="2500"/>
            <w:shd w:fill="EAF2F7"/>
            <w:vAlign w:val="center"/>
            <w:tcMar>
              <w:top w:w="90" w:type="dxa"/>
              <w:start w:w="130" w:type="dxa"/>
              <w:bottom w:w="90" w:type="dxa"/>
              <w:end w:w="130" w:type="dxa"/>
            </w:tcMar>
          </w:tcPr>
          <w:p>
            <w:r>
              <w:rPr>
                <w:b/>
              </w:rPr>
              <w:t>Selected plan / services</w:t>
            </w:r>
          </w:p>
        </w:tc>
        <w:tc>
          <w:tcPr>
            <w:tcW w:type="dxa" w:w="6860"/>
            <w:vAlign w:val="center"/>
            <w:tcMar>
              <w:top w:w="90" w:type="dxa"/>
              <w:start w:w="130" w:type="dxa"/>
              <w:bottom w:w="90" w:type="dxa"/>
              <w:end w:w="130" w:type="dxa"/>
            </w:tcMar>
          </w:tcPr>
          <w:p>
            <w:r>
              <w:t>[PLAN AND SERVICES]</w:t>
            </w:r>
          </w:p>
        </w:tc>
      </w:tr>
      <w:tr>
        <w:trPr>
          <w:cantSplit/>
        </w:trPr>
        <w:tc>
          <w:tcPr>
            <w:tcW w:type="dxa" w:w="2500"/>
            <w:shd w:fill="EAF2F7"/>
            <w:vAlign w:val="center"/>
            <w:tcMar>
              <w:top w:w="90" w:type="dxa"/>
              <w:start w:w="130" w:type="dxa"/>
              <w:bottom w:w="90" w:type="dxa"/>
              <w:end w:w="130" w:type="dxa"/>
            </w:tcMar>
          </w:tcPr>
          <w:p>
            <w:r>
              <w:rPr>
                <w:b/>
              </w:rPr>
              <w:t>Monthly fee</w:t>
            </w:r>
          </w:p>
        </w:tc>
        <w:tc>
          <w:tcPr>
            <w:tcW w:type="dxa" w:w="6860"/>
            <w:vAlign w:val="center"/>
            <w:tcMar>
              <w:top w:w="90" w:type="dxa"/>
              <w:start w:w="130" w:type="dxa"/>
              <w:bottom w:w="90" w:type="dxa"/>
              <w:end w:w="130" w:type="dxa"/>
            </w:tcMar>
          </w:tcPr>
          <w:p>
            <w:r>
              <w:t>$[AMOUNT] per month</w:t>
            </w:r>
          </w:p>
        </w:tc>
      </w:tr>
      <w:tr>
        <w:trPr>
          <w:cantSplit/>
        </w:trPr>
        <w:tc>
          <w:tcPr>
            <w:tcW w:type="dxa" w:w="2500"/>
            <w:shd w:fill="EAF2F7"/>
            <w:vAlign w:val="center"/>
            <w:tcMar>
              <w:top w:w="90" w:type="dxa"/>
              <w:start w:w="130" w:type="dxa"/>
              <w:bottom w:w="90" w:type="dxa"/>
              <w:end w:w="130" w:type="dxa"/>
            </w:tcMar>
          </w:tcPr>
          <w:p>
            <w:r>
              <w:rPr>
                <w:b/>
              </w:rPr>
              <w:t>One-time setup fee</w:t>
            </w:r>
          </w:p>
        </w:tc>
        <w:tc>
          <w:tcPr>
            <w:tcW w:type="dxa" w:w="6860"/>
            <w:vAlign w:val="center"/>
            <w:tcMar>
              <w:top w:w="90" w:type="dxa"/>
              <w:start w:w="130" w:type="dxa"/>
              <w:bottom w:w="90" w:type="dxa"/>
              <w:end w:w="130" w:type="dxa"/>
            </w:tcMar>
          </w:tcPr>
          <w:p>
            <w:r>
              <w:t>$[AMOUNT]</w:t>
            </w:r>
          </w:p>
        </w:tc>
      </w:tr>
      <w:tr>
        <w:trPr>
          <w:cantSplit/>
        </w:trPr>
        <w:tc>
          <w:tcPr>
            <w:tcW w:type="dxa" w:w="2500"/>
            <w:shd w:fill="EAF2F7"/>
            <w:vAlign w:val="center"/>
            <w:tcMar>
              <w:top w:w="90" w:type="dxa"/>
              <w:start w:w="130" w:type="dxa"/>
              <w:bottom w:w="90" w:type="dxa"/>
              <w:end w:w="130" w:type="dxa"/>
            </w:tcMar>
          </w:tcPr>
          <w:p>
            <w:r>
              <w:rPr>
                <w:b/>
              </w:rPr>
              <w:t>Add-ons</w:t>
            </w:r>
          </w:p>
        </w:tc>
        <w:tc>
          <w:tcPr>
            <w:tcW w:type="dxa" w:w="6860"/>
            <w:vAlign w:val="center"/>
            <w:tcMar>
              <w:top w:w="90" w:type="dxa"/>
              <w:start w:w="130" w:type="dxa"/>
              <w:bottom w:w="90" w:type="dxa"/>
              <w:end w:w="130" w:type="dxa"/>
            </w:tcMar>
          </w:tcPr>
          <w:p>
            <w:r>
              <w:t>[ADD-ONS AND PRICES]</w:t>
            </w:r>
          </w:p>
        </w:tc>
      </w:tr>
      <w:tr>
        <w:trPr>
          <w:cantSplit/>
        </w:trPr>
        <w:tc>
          <w:tcPr>
            <w:tcW w:type="dxa" w:w="2500"/>
            <w:shd w:fill="EAF2F7"/>
            <w:vAlign w:val="center"/>
            <w:tcMar>
              <w:top w:w="90" w:type="dxa"/>
              <w:start w:w="130" w:type="dxa"/>
              <w:bottom w:w="90" w:type="dxa"/>
              <w:end w:w="130" w:type="dxa"/>
            </w:tcMar>
          </w:tcPr>
          <w:p>
            <w:r>
              <w:rPr>
                <w:b/>
              </w:rPr>
              <w:t>Promo code / discount</w:t>
            </w:r>
          </w:p>
        </w:tc>
        <w:tc>
          <w:tcPr>
            <w:tcW w:type="dxa" w:w="6860"/>
            <w:vAlign w:val="center"/>
            <w:tcMar>
              <w:top w:w="90" w:type="dxa"/>
              <w:start w:w="130" w:type="dxa"/>
              <w:bottom w:w="90" w:type="dxa"/>
              <w:end w:w="130" w:type="dxa"/>
            </w:tcMar>
          </w:tcPr>
          <w:p>
            <w:r>
              <w:t>[CODE, VALUE, LIMITS, END DATE]</w:t>
            </w:r>
          </w:p>
        </w:tc>
      </w:tr>
      <w:tr>
        <w:trPr>
          <w:cantSplit/>
        </w:trPr>
        <w:tc>
          <w:tcPr>
            <w:tcW w:type="dxa" w:w="2500"/>
            <w:shd w:fill="EAF2F7"/>
            <w:vAlign w:val="center"/>
            <w:tcMar>
              <w:top w:w="90" w:type="dxa"/>
              <w:start w:w="130" w:type="dxa"/>
              <w:bottom w:w="90" w:type="dxa"/>
              <w:end w:w="130" w:type="dxa"/>
            </w:tcMar>
          </w:tcPr>
          <w:p>
            <w:r>
              <w:rPr>
                <w:b/>
              </w:rPr>
              <w:t>Start / billing date</w:t>
            </w:r>
          </w:p>
        </w:tc>
        <w:tc>
          <w:tcPr>
            <w:tcW w:type="dxa" w:w="6860"/>
            <w:vAlign w:val="center"/>
            <w:tcMar>
              <w:top w:w="90" w:type="dxa"/>
              <w:start w:w="130" w:type="dxa"/>
              <w:bottom w:w="90" w:type="dxa"/>
              <w:end w:w="130" w:type="dxa"/>
            </w:tcMar>
          </w:tcPr>
          <w:p>
            <w:r>
              <w:t>[DATE]</w:t>
            </w:r>
          </w:p>
        </w:tc>
      </w:tr>
      <w:tr>
        <w:trPr>
          <w:cantSplit/>
        </w:trPr>
        <w:tc>
          <w:tcPr>
            <w:tcW w:type="dxa" w:w="2500"/>
            <w:shd w:fill="EAF2F7"/>
            <w:vAlign w:val="center"/>
            <w:tcMar>
              <w:top w:w="90" w:type="dxa"/>
              <w:start w:w="130" w:type="dxa"/>
              <w:bottom w:w="90" w:type="dxa"/>
              <w:end w:w="130" w:type="dxa"/>
            </w:tcMar>
          </w:tcPr>
          <w:p>
            <w:r>
              <w:rPr>
                <w:b/>
              </w:rPr>
              <w:t>Outside-cost budget</w:t>
            </w:r>
          </w:p>
        </w:tc>
        <w:tc>
          <w:tcPr>
            <w:tcW w:type="dxa" w:w="6860"/>
            <w:vAlign w:val="center"/>
            <w:tcMar>
              <w:top w:w="90" w:type="dxa"/>
              <w:start w:w="130" w:type="dxa"/>
              <w:bottom w:w="90" w:type="dxa"/>
              <w:end w:w="130" w:type="dxa"/>
            </w:tcMar>
          </w:tcPr>
          <w:p>
            <w:r>
              <w:t>[NONE / PREAPPROVED AMOUNT]</w:t>
            </w:r>
          </w:p>
        </w:tc>
      </w:tr>
      <w:tr>
        <w:trPr>
          <w:cantSplit/>
        </w:trPr>
        <w:tc>
          <w:tcPr>
            <w:tcW w:type="dxa" w:w="2500"/>
            <w:shd w:fill="EAF2F7"/>
            <w:vAlign w:val="center"/>
            <w:tcMar>
              <w:top w:w="90" w:type="dxa"/>
              <w:start w:w="130" w:type="dxa"/>
              <w:bottom w:w="90" w:type="dxa"/>
              <w:end w:w="130" w:type="dxa"/>
            </w:tcMar>
          </w:tcPr>
          <w:p>
            <w:r>
              <w:rPr>
                <w:b/>
              </w:rPr>
              <w:t>Special terms</w:t>
            </w:r>
          </w:p>
        </w:tc>
        <w:tc>
          <w:tcPr>
            <w:tcW w:type="dxa" w:w="6860"/>
            <w:vAlign w:val="center"/>
            <w:tcMar>
              <w:top w:w="90" w:type="dxa"/>
              <w:start w:w="130" w:type="dxa"/>
              <w:bottom w:w="90" w:type="dxa"/>
              <w:end w:w="130" w:type="dxa"/>
            </w:tcMar>
          </w:tcPr>
          <w:p>
            <w:r>
              <w:t>[NONE / DETAILS]</w:t>
            </w:r>
          </w:p>
        </w:tc>
      </w:tr>
    </w:tbl>
    <w:p>
      <w:pPr>
        <w:spacing w:after="20"/>
      </w:pP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shd w:fill="EAF2F7"/>
            <w:tcMar>
              <w:top w:w="140" w:type="dxa"/>
              <w:start w:w="180" w:type="dxa"/>
              <w:bottom w:w="140" w:type="dxa"/>
              <w:end w:w="180" w:type="dxa"/>
              <w:top w:w="90" w:type="dxa"/>
              <w:start w:w="130" w:type="dxa"/>
              <w:bottom w:w="90" w:type="dxa"/>
              <w:end w:w="130" w:type="dxa"/>
            </w:tcMar>
          </w:tcPr>
          <w:p>
            <w:r>
              <w:rPr>
                <w:b/>
                <w:color w:val="17324D"/>
              </w:rPr>
              <w:t xml:space="preserve">MONTH-TO-MONTH AND AUTOMATIC BILLING: </w:t>
            </w:r>
            <w:r>
              <w:t>After the first paid month, monthly services continue one month at a time until canceled under Section 6. LGD charges the saved payment method each billing cycle. One-time work does not renew unless the Order says otherwise.</w:t>
            </w:r>
          </w:p>
        </w:tc>
      </w:tr>
    </w:tbl>
    <w:p>
      <w:pPr>
        <w:spacing w:after="20"/>
      </w:pPr>
    </w:p>
    <w:p>
      <w:pPr>
        <w:pStyle w:val="Heading1"/>
      </w:pPr>
      <w:r>
        <w:t>1. Agreement and order of control</w:t>
      </w:r>
    </w:p>
    <w:p>
      <w:r>
        <w:t>This Agreement is between LGD and the Client named above. It starts when the Client signs it, checks the acceptance box and pays, or otherwise accepts it electronically.</w:t>
      </w:r>
    </w:p>
    <w:p>
      <w:r>
        <w:t>The Order, this Agreement, and the linked policies make up the full deal. If they conflict, a signed special term in the Order controls, then this Agreement, then the policies. A quote or sales message does not change the deal unless it is added to the Order in writing.</w:t>
      </w:r>
    </w:p>
    <w:p>
      <w:pPr>
        <w:pStyle w:val="Heading1"/>
      </w:pPr>
      <w:r>
        <w:t>2. Services and changes</w:t>
      </w:r>
    </w:p>
    <w:p>
      <w:r>
        <w:t>LGD will provide the services listed in the Order. Services may include websites, local search and listings, social media, reputation support, CRM or automation, advertising support, creative work, dashboard/reporting, direct mail, jingle/audio work, and related add-ons.</w:t>
      </w:r>
    </w:p>
    <w:p>
      <w:r>
        <w:t>The Client may ask for changes. LGD will say if a change affects the price, timing, or scope. Extra work begins only after written approval, which may be given by email, dashboard message, text message, or a new Order.</w:t>
      </w:r>
    </w:p>
    <w:p>
      <w:pPr>
        <w:pStyle w:val="Heading2"/>
      </w:pPr>
      <w:r>
        <w:t>Jingle and audio add-ons</w:t>
      </w:r>
    </w:p>
    <w:tbl>
      <w:tblPr>
        <w:tblStyle w:val="TableGrid"/>
        <w:tblW w:type="dxa" w:w="9360"/>
        <w:jc w:val="left"/>
        <w:tblLayout w:type="fixed"/>
        <w:tblLook w:firstColumn="1" w:firstRow="1" w:lastColumn="0" w:lastRow="0" w:noHBand="0" w:noVBand="1" w:val="04A0"/>
        <w:tblInd w:w="120" w:type="dxa"/>
      </w:tblPr>
      <w:tblGrid>
        <w:gridCol w:w="3000"/>
        <w:gridCol w:w="1700"/>
        <w:gridCol w:w="4660"/>
      </w:tblGrid>
      <w:tr>
        <w:trPr>
          <w:tblHeader w:val="true"/>
          <w:cantSplit/>
        </w:trPr>
        <w:tc>
          <w:tcPr>
            <w:tcW w:type="dxa" w:w="3000"/>
            <w:shd w:fill="17324D"/>
            <w:tcMar>
              <w:top w:w="90" w:type="dxa"/>
              <w:start w:w="130" w:type="dxa"/>
              <w:bottom w:w="90" w:type="dxa"/>
              <w:end w:w="130" w:type="dxa"/>
            </w:tcMar>
          </w:tcPr>
          <w:p>
            <w:r>
              <w:rPr>
                <w:b/>
                <w:color w:val="FFFFFF"/>
              </w:rPr>
              <w:t>Option</w:t>
            </w:r>
          </w:p>
        </w:tc>
        <w:tc>
          <w:tcPr>
            <w:tcW w:type="dxa" w:w="1700"/>
            <w:shd w:fill="17324D"/>
            <w:tcMar>
              <w:top w:w="90" w:type="dxa"/>
              <w:start w:w="130" w:type="dxa"/>
              <w:bottom w:w="90" w:type="dxa"/>
              <w:end w:w="130" w:type="dxa"/>
            </w:tcMar>
          </w:tcPr>
          <w:p>
            <w:r>
              <w:rPr>
                <w:b/>
                <w:color w:val="FFFFFF"/>
              </w:rPr>
              <w:t>Price</w:t>
            </w:r>
          </w:p>
        </w:tc>
        <w:tc>
          <w:tcPr>
            <w:tcW w:type="dxa" w:w="4660"/>
            <w:shd w:fill="17324D"/>
            <w:tcMar>
              <w:top w:w="90" w:type="dxa"/>
              <w:start w:w="130" w:type="dxa"/>
              <w:bottom w:w="90" w:type="dxa"/>
              <w:end w:w="130" w:type="dxa"/>
            </w:tcMar>
          </w:tcPr>
          <w:p>
            <w:r>
              <w:rPr>
                <w:b/>
                <w:color w:val="FFFFFF"/>
              </w:rPr>
              <w:t>Included scope</w:t>
            </w:r>
          </w:p>
        </w:tc>
      </w:tr>
      <w:tr>
        <w:trPr>
          <w:cantSplit/>
        </w:trPr>
        <w:tc>
          <w:tcPr>
            <w:tcW w:type="dxa" w:w="3000"/>
            <w:tcMar>
              <w:top w:w="90" w:type="dxa"/>
              <w:start w:w="130" w:type="dxa"/>
              <w:bottom w:w="90" w:type="dxa"/>
              <w:end w:w="130" w:type="dxa"/>
            </w:tcMar>
          </w:tcPr>
          <w:p>
            <w:r>
              <w:t>Custom Business Jingle</w:t>
            </w:r>
          </w:p>
        </w:tc>
        <w:tc>
          <w:tcPr>
            <w:tcW w:type="dxa" w:w="1700"/>
            <w:tcMar>
              <w:top w:w="90" w:type="dxa"/>
              <w:start w:w="130" w:type="dxa"/>
              <w:bottom w:w="90" w:type="dxa"/>
              <w:end w:w="130" w:type="dxa"/>
            </w:tcMar>
          </w:tcPr>
          <w:p>
            <w:r>
              <w:t>$299 one time</w:t>
            </w:r>
          </w:p>
        </w:tc>
        <w:tc>
          <w:tcPr>
            <w:tcW w:type="dxa" w:w="4660"/>
            <w:tcMar>
              <w:top w:w="90" w:type="dxa"/>
              <w:start w:w="130" w:type="dxa"/>
              <w:bottom w:w="90" w:type="dxa"/>
              <w:end w:w="130" w:type="dxa"/>
            </w:tcMar>
          </w:tcPr>
          <w:p>
            <w:r>
              <w:t>About 15-30 seconds; business name or slogan; one revision.</w:t>
            </w:r>
          </w:p>
        </w:tc>
      </w:tr>
      <w:tr>
        <w:trPr>
          <w:cantSplit/>
        </w:trPr>
        <w:tc>
          <w:tcPr>
            <w:tcW w:type="dxa" w:w="3000"/>
            <w:tcMar>
              <w:top w:w="90" w:type="dxa"/>
              <w:start w:w="130" w:type="dxa"/>
              <w:bottom w:w="90" w:type="dxa"/>
              <w:end w:w="130" w:type="dxa"/>
            </w:tcMar>
          </w:tcPr>
          <w:p>
            <w:r>
              <w:t>Jingle + 30-Second Audio Ad</w:t>
            </w:r>
          </w:p>
        </w:tc>
        <w:tc>
          <w:tcPr>
            <w:tcW w:type="dxa" w:w="1700"/>
            <w:tcMar>
              <w:top w:w="90" w:type="dxa"/>
              <w:start w:w="130" w:type="dxa"/>
              <w:bottom w:w="90" w:type="dxa"/>
              <w:end w:w="130" w:type="dxa"/>
            </w:tcMar>
          </w:tcPr>
          <w:p>
            <w:r>
              <w:t>$499 one time</w:t>
            </w:r>
          </w:p>
        </w:tc>
        <w:tc>
          <w:tcPr>
            <w:tcW w:type="dxa" w:w="4660"/>
            <w:tcMar>
              <w:top w:w="90" w:type="dxa"/>
              <w:start w:w="130" w:type="dxa"/>
              <w:bottom w:w="90" w:type="dxa"/>
              <w:end w:w="130" w:type="dxa"/>
            </w:tcMar>
          </w:tcPr>
          <w:p>
            <w:r>
              <w:t>Original jingle plus a complete 30-second commercial script, voice, and music mix, subject to the Order.</w:t>
            </w:r>
          </w:p>
        </w:tc>
      </w:tr>
      <w:tr>
        <w:trPr>
          <w:cantSplit/>
        </w:trPr>
        <w:tc>
          <w:tcPr>
            <w:tcW w:type="dxa" w:w="3000"/>
            <w:tcMar>
              <w:top w:w="90" w:type="dxa"/>
              <w:start w:w="130" w:type="dxa"/>
              <w:bottom w:w="90" w:type="dxa"/>
              <w:end w:w="130" w:type="dxa"/>
            </w:tcMar>
          </w:tcPr>
          <w:p>
            <w:r>
              <w:t>Premium Jingle Campaign</w:t>
            </w:r>
          </w:p>
        </w:tc>
        <w:tc>
          <w:tcPr>
            <w:tcW w:type="dxa" w:w="1700"/>
            <w:tcMar>
              <w:top w:w="90" w:type="dxa"/>
              <w:start w:w="130" w:type="dxa"/>
              <w:bottom w:w="90" w:type="dxa"/>
              <w:end w:w="130" w:type="dxa"/>
            </w:tcMar>
          </w:tcPr>
          <w:p>
            <w:r>
              <w:t>Starting at $799</w:t>
            </w:r>
          </w:p>
        </w:tc>
        <w:tc>
          <w:tcPr>
            <w:tcW w:type="dxa" w:w="4660"/>
            <w:tcMar>
              <w:top w:w="90" w:type="dxa"/>
              <w:start w:w="130" w:type="dxa"/>
              <w:bottom w:w="90" w:type="dxa"/>
              <w:end w:w="130" w:type="dxa"/>
            </w:tcMar>
          </w:tcPr>
          <w:p>
            <w:r>
              <w:t>Longer custom production, added versions or edits, social/radio-ready cuts, and the usage package stated in the Order.</w:t>
            </w:r>
          </w:p>
        </w:tc>
      </w:tr>
    </w:tbl>
    <w:p>
      <w:pPr>
        <w:pStyle w:val="SmallNote"/>
      </w:pPr>
      <w:r>
        <w:t>Voice talent, paid music libraries, media or radio placement, ad spend, rush work, and special licenses are outside costs unless the Order clearly says they are included.</w:t>
      </w:r>
    </w:p>
    <w:p>
      <w:pPr>
        <w:pStyle w:val="Heading1"/>
      </w:pPr>
      <w:r>
        <w:t>3. Prices, promo codes, taxes, and outside costs</w:t>
      </w:r>
    </w:p>
    <w:p>
      <w:r>
        <w:t>The Client will pay the prices in the Order. Setup fees and one-time fees are due when ordered unless the Order says otherwise. Monthly fees are billed in advance for the coming service month.</w:t>
      </w:r>
    </w:p>
    <w:p>
      <w:r>
        <w:t>A promo code applies only as shown at checkout or in the Order. It has no cash value, cannot be combined unless LGD agrees, and ends or changes when its stated limit is reached. A discount does not change the regular price after the promo ends.</w:t>
      </w:r>
    </w:p>
    <w:p>
      <w:r>
        <w:t>The Client must pay sales, use, communications, or other taxes that LGD is required to collect. LGD may add or correct required tax on an invoice.</w:t>
      </w:r>
    </w:p>
    <w:p>
      <w:r>
        <w:t>Outside costs are charges paid to another company or person for the Client’s work. Examples include domains, hosting, software, data, stock media, printing, postage, mailing lists, voice talent, music licenses, ad platforms, and media placement. The Client must approve outside costs unless the Order already includes a budget or rate. Ad spend and postage may need to be funded before work begins. Outside costs are normally nonrefundable after LGD commits or pays them.</w:t>
      </w:r>
    </w:p>
    <w:p>
      <w:pPr>
        <w:pStyle w:val="Heading1"/>
      </w:pPr>
      <w:r>
        <w:t>4. Payment authorization and failed payments</w:t>
      </w:r>
    </w:p>
    <w:p>
      <w:r>
        <w:t>The Client authorizes LGD and its payment processor to store the selected payment method and charge all amounts due under the Order, including recurring monthly fees, approved extra work, taxes, and approved outside costs.</w:t>
      </w:r>
    </w:p>
    <w:p>
      <w:r>
        <w:t>If payment fails, LGD may retry the charge, ask for another payment method, pause work, remove access to unpaid deliverables, or end service. The Client must pay reasonable collection costs allowed by law. LGD will not charge a late fee unless it is shown in the Order or Billing Policy.</w:t>
      </w:r>
    </w:p>
    <w:p>
      <w:pPr>
        <w:pStyle w:val="Heading1"/>
      </w:pPr>
      <w:r>
        <w:t>5. Refunds and charge questions</w:t>
      </w:r>
    </w:p>
    <w:p>
      <w:r>
        <w:t>Fees pay for reserved time, setup, work performed, and access already provided. Setup fees, completed one-time work, ad spend, postage, printing, licenses, and other committed outside costs are nonrefundable unless the Order or law requires otherwise.</w:t>
      </w:r>
    </w:p>
    <w:p>
      <w:r>
        <w:t>For monthly service, cancellation stops future renewal; it does not normally create a refund for the current paid month. If the Client believes a charge is wrong, the Client should contact LGD promptly so both sides can review it before a payment dispute is filed.</w:t>
      </w:r>
    </w:p>
    <w:p>
      <w:pPr>
        <w:pStyle w:val="Heading1"/>
      </w:pPr>
      <w:r>
        <w:t>6. Month-to-month term and cancellation</w:t>
      </w:r>
    </w:p>
    <w:p>
      <w:r>
        <w:t>Monthly service continues one month at a time. The Client may cancel at any time through the same kind of method used to sign up, if available, or by sending clear written notice to the LGD notice email in Section 23. Cancellation is effective at the end of the current paid billing period unless LGD agrees to an earlier date.</w:t>
      </w:r>
    </w:p>
    <w:p>
      <w:r>
        <w:t>To avoid the next monthly charge, LGD must receive cancellation before that charge is processed. Work, reporting, posting, hosting, and access may stop when the paid period ends. The Client remains responsible for amounts already due and outside costs already committed.</w:t>
      </w:r>
    </w:p>
    <w:p>
      <w:pPr>
        <w:pStyle w:val="Heading1"/>
      </w:pPr>
      <w:r>
        <w:t>7. Client responsibilities</w:t>
      </w:r>
    </w:p>
    <w:p>
      <w:pPr>
        <w:pStyle w:val="ListBullet"/>
        <w:spacing w:after="60"/>
        <w:ind w:left="432" w:hanging="259"/>
      </w:pPr>
      <w:r>
        <w:t>Give LGD timely, accurate information, approvals, access, files, brand rules, offers, prices, and legal disclosures.</w:t>
      </w:r>
    </w:p>
    <w:p>
      <w:pPr>
        <w:pStyle w:val="ListBullet"/>
        <w:spacing w:after="60"/>
        <w:ind w:left="432" w:hanging="259"/>
      </w:pPr>
      <w:r>
        <w:t>Name a person who may give instructions and approvals for the Client.</w:t>
      </w:r>
    </w:p>
    <w:p>
      <w:pPr>
        <w:pStyle w:val="ListBullet"/>
        <w:spacing w:after="60"/>
        <w:ind w:left="432" w:hanging="259"/>
      </w:pPr>
      <w:r>
        <w:t>Review work and report errors quickly. If the Client does not respond by a stated deadline, timing may move and LGD may rely on the latest approved information.</w:t>
      </w:r>
    </w:p>
    <w:p>
      <w:pPr>
        <w:pStyle w:val="ListBullet"/>
        <w:spacing w:after="60"/>
        <w:ind w:left="432" w:hanging="259"/>
      </w:pPr>
      <w:r>
        <w:t>Keep accounts, passwords, devices, products, licenses, permits, and business practices lawful and secure.</w:t>
      </w:r>
    </w:p>
    <w:p>
      <w:pPr>
        <w:pStyle w:val="ListBullet"/>
        <w:spacing w:after="60"/>
        <w:ind w:left="432" w:hanging="259"/>
      </w:pPr>
      <w:r>
        <w:t>Make sure all claims, photos, logos, lists, recordings, testimonials, and other Client materials may legally be used.</w:t>
      </w:r>
    </w:p>
    <w:p>
      <w:pPr>
        <w:pStyle w:val="ListBullet"/>
        <w:spacing w:after="60"/>
        <w:ind w:left="432" w:hanging="259"/>
      </w:pPr>
      <w:r>
        <w:t>Comply with platform rules and laws for advertising, privacy, email, text messages, calls, promotions, reviews, direct mail, intellectual property, and the Client’s industry.</w:t>
      </w:r>
    </w:p>
    <w:p>
      <w:pPr>
        <w:pStyle w:val="Heading1"/>
      </w:pPr>
      <w:r>
        <w:t>8. Account and content permission</w:t>
      </w:r>
    </w:p>
    <w:p>
      <w:r>
        <w:t>The Client authorizes LGD to access, create, connect, configure, and manage the accounts and tools reasonably needed for the services. This may include websites, domains, hosting, Google profiles, social pages, ad accounts, analytics, CRM systems, email tools, phone or messaging tools, and dashboards.</w:t>
      </w:r>
    </w:p>
    <w:p>
      <w:r>
        <w:t>The Client also authorizes LGD to publish or send approved content for the Client. LGD may rely on approval from the Client’s named contact. The Client may revoke access, but doing so may delay or stop service and does not remove payment duties for work already done.</w:t>
      </w:r>
    </w:p>
    <w:p>
      <w:pPr>
        <w:pStyle w:val="Heading1"/>
      </w:pPr>
      <w:r>
        <w:t>9. Dashboard and reporting</w:t>
      </w:r>
    </w:p>
    <w:p>
      <w:r>
        <w:t>LGD may provide a dashboard, reports, summaries, alerts, or recommendations. Data may come from third parties and may be delayed, incomplete, sampled, estimated, or later corrected. Reporting periods and platform numbers may not match exactly.</w:t>
      </w:r>
    </w:p>
    <w:p>
      <w:r>
        <w:t>The dashboard is a service tool, not an audit, accounting record, or promise of results. The Client should keep its own copies of important business records.</w:t>
      </w:r>
    </w:p>
    <w:p>
      <w:pPr>
        <w:pStyle w:val="Heading1"/>
      </w:pPr>
      <w:r>
        <w:t>10. Direct mail</w:t>
      </w:r>
    </w:p>
    <w:p>
      <w:r>
        <w:t>For direct-mail work, the Client approves the final design, offer, quantity, addresses or audience rules, mailing class, budget, and schedule. Printing, postage, mailing lists, address cleaning, shipping, and special handling are outside costs unless included in the Order.</w:t>
      </w:r>
    </w:p>
    <w:p>
      <w:r>
        <w:t>Postal delivery dates are estimates. LGD is not responsible for postal delays, returned mail, list quality supplied by others, or results. The Client is responsible for required offer terms, permits, disclosures, and rights to use names, addresses, or data.</w:t>
      </w:r>
    </w:p>
    <w:p>
      <w:pPr>
        <w:pStyle w:val="Heading1"/>
      </w:pPr>
      <w:r>
        <w:t>11. AI and automation</w:t>
      </w:r>
    </w:p>
    <w:p>
      <w:r>
        <w:t>LGD may use artificial intelligence and automation to help draft, edit, analyze, organize, schedule, report, answer routine requests, or operate workflows. People may review outputs when LGD believes review is appropriate, but not every automated step is reviewed before it runs.</w:t>
      </w:r>
    </w:p>
    <w:p>
      <w:r>
        <w:t>AI and automation can make mistakes. The Client must review important facts, prices, promises, legal or professional statements, and final approvals. The Client should not send highly sensitive data unless LGD has agreed in writing to handle it.</w:t>
      </w:r>
    </w:p>
    <w:p>
      <w:pPr>
        <w:pStyle w:val="Heading1"/>
      </w:pPr>
      <w:r>
        <w:t>12. Ownership and licenses</w:t>
      </w:r>
    </w:p>
    <w:p>
      <w:r>
        <w:t>The Client keeps ownership of materials it provides. The Client gives LGD a nonexclusive license to use, copy, edit, publish, and share those materials only as needed to provide, support, and show the services, subject to confidentiality.</w:t>
      </w:r>
    </w:p>
    <w:p>
      <w:r>
        <w:t>After full payment, the Client owns the final custom deliverables that the Order clearly identifies as work made for the Client, except for LGD tools and third-party materials. LGD keeps its preexisting methods, templates, code, prompts, systems, know-how, reusable parts, raw files, working files, unused drafts, and production tools. LGD gives the Client a continuing license to use any LGD-owned part built into a fully paid final deliverable for the Client’s own business.</w:t>
      </w:r>
    </w:p>
    <w:p>
      <w:r>
        <w:t>Third-party software, fonts, photos, music, data, plugins, and other materials stay under their own license terms. The Client must follow those terms.</w:t>
      </w:r>
    </w:p>
    <w:p>
      <w:pPr>
        <w:pStyle w:val="Heading1"/>
      </w:pPr>
      <w:r>
        <w:t>13. Jingle and audio usage rights</w:t>
      </w:r>
    </w:p>
    <w:p>
      <w:r>
        <w:t>After full payment, the Client may use the final approved jingle or audio ad for the Client’s own business marketing in the channels stated in the Order. Unless the Order says “exclusive assignment,” this is a nonexclusive, worldwide, continuing business-use license.</w:t>
      </w:r>
    </w:p>
    <w:p>
      <w:r>
        <w:t>Raw project files, stems, source sessions, unused drafts, production methods, stock music, voice models or talent recordings, and other third-party licensed materials are not transferred. Broadcast, political, resale, sublicensing, sync, national campaign, paid media, or other special rights are included only when written in the Order. The Client may not use a person’s voice or likeness beyond the agreed license.</w:t>
      </w:r>
    </w:p>
    <w:p>
      <w:pPr>
        <w:pStyle w:val="Heading1"/>
      </w:pPr>
      <w:r>
        <w:t>14. Portfolio use</w:t>
      </w:r>
    </w:p>
    <w:p>
      <w:r>
        <w:t>After work is public, LGD may show the Client’s name, logo, and nonconfidential final work in LGD’s portfolio and sales materials. The Client may opt out by sending written notice. LGD will not reveal private campaign data, passwords, or confidential business information.</w:t>
      </w:r>
    </w:p>
    <w:p>
      <w:pPr>
        <w:pStyle w:val="Heading1"/>
      </w:pPr>
      <w:r>
        <w:t>15. No guarantee</w:t>
      </w:r>
    </w:p>
    <w:p>
      <w:r>
        <w:t>LGD promises to use reasonable business care. LGD does not promise any number of leads, calls, sales, customers, reviews, rankings, views, clicks, mail responses, approvals, placements, savings, or revenue. Results depend on the Client, the offer, the market, competition, budget, timing, platforms, and other facts outside LGD’s control.</w:t>
      </w:r>
    </w:p>
    <w:p>
      <w:r>
        <w:t>Unless the Order says otherwise, services and deliverables are provided “as is” to the fullest extent allowed by law. LGD does not give legal, tax, accounting, medical, or other licensed professional advice.</w:t>
      </w:r>
    </w:p>
    <w:p>
      <w:pPr>
        <w:pStyle w:val="Heading1"/>
      </w:pPr>
      <w:r>
        <w:t>16. Third-party platforms and service changes</w:t>
      </w:r>
    </w:p>
    <w:p>
      <w:r>
        <w:t>LGD does not control search engines, social networks, ad networks, hosting companies, payment processors, postal services, app stores, AI providers, telecom providers, or other third parties. They may change rules, prices, access, features, rankings, data, or accounts, or may have outages.</w:t>
      </w:r>
    </w:p>
    <w:p>
      <w:r>
        <w:t>LGD is not responsible for a third party’s act, outage, suspension, rejection, data loss, or policy change. LGD may change a workflow or replace a tool when reasonably needed. Material changes to price or scope require notice or a new Order.</w:t>
      </w:r>
    </w:p>
    <w:p>
      <w:pPr>
        <w:pStyle w:val="Heading1"/>
      </w:pPr>
      <w:r>
        <w:t>17. Confidential information</w:t>
      </w:r>
    </w:p>
    <w:p>
      <w:r>
        <w:t>Each side will use the other side’s nonpublic business information only for this work and will use reasonable care to protect it. This duty does not cover information already known without a duty, made public without a breach, received lawfully from another source, or developed independently.</w:t>
      </w:r>
    </w:p>
    <w:p>
      <w:r>
        <w:t>A side may disclose information when law requires it, if allowed giving prompt notice first. Passwords and access tokens must be handled carefully and removed when no longer needed.</w:t>
      </w:r>
    </w:p>
    <w:p>
      <w:pPr>
        <w:pStyle w:val="Heading1"/>
      </w:pPr>
      <w:r>
        <w:t>18. Limits on liability</w:t>
      </w:r>
    </w:p>
    <w:p>
      <w:r>
        <w:t>To the fullest extent allowed by law, neither side is liable to the other for indirect, special, incidental, punitive, or consequential damages, or for lost profit, lost revenue, lost data, lost goodwill, or business interruption.</w:t>
      </w:r>
    </w:p>
    <w:p>
      <w:r>
        <w:t>To the fullest extent allowed by law, LGD’s total liability connected to this Agreement will not exceed the fees the Client paid to LGD for the affected service during the three months before the event that caused the claim. This limit does not apply where the law does not allow a limit, or to LGD’s fraud, willful misconduct, or gross negligence.</w:t>
      </w:r>
    </w:p>
    <w:p>
      <w:r>
        <w:t>These limits are part of the price and risk agreed by both sides.</w:t>
      </w:r>
    </w:p>
    <w:p>
      <w:pPr>
        <w:pStyle w:val="Heading1"/>
      </w:pPr>
      <w:r>
        <w:t>19. Indemnity</w:t>
      </w:r>
    </w:p>
    <w:p>
      <w:r>
        <w:t>The Client will defend and protect LGD and its owners, workers, and contractors from third-party claims, losses, fines, and reasonable legal costs caused by: Client materials or instructions; the Client’s products, services, offers, claims, lists, data, or business practices; the Client’s breach of this Agreement; or the Client’s violation of law or another person’s rights.</w:t>
      </w:r>
    </w:p>
    <w:p>
      <w:r>
        <w:t>LGD must promptly tell the Client about the claim and allow the Client to control the defense with qualified counsel. The Client may not settle a claim in a way that admits fault by LGD or creates a duty for LGD without LGD’s written consent. This section does not require the Client to cover LGD’s own fraud, willful misconduct, or gross negligence.</w:t>
      </w:r>
    </w:p>
    <w:p>
      <w:pPr>
        <w:pStyle w:val="Heading1"/>
      </w:pPr>
      <w:r>
        <w:t>20. Suspension and termination</w:t>
      </w:r>
    </w:p>
    <w:p>
      <w:r>
        <w:t>LGD may pause or end service for nonpayment, unsafe or abusive conduct, unlawful or misleading content, platform risk, missing access or approvals, a serious breach, or a threat to systems or people. When practical, LGD will give notice and a chance to fix the issue.</w:t>
      </w:r>
    </w:p>
    <w:p>
      <w:r>
        <w:t>Either side may end this Agreement for a serious breach if the other side does not fix it within 10 days after written notice, unless the breach cannot be fixed or immediate action is reasonably needed. Sections about payment, ownership, confidentiality, no guarantees, liability, indemnity, disputes, and any terms meant to continue will survive.</w:t>
      </w:r>
    </w:p>
    <w:p>
      <w:pPr>
        <w:pStyle w:val="Heading1"/>
      </w:pPr>
      <w:r>
        <w:t>21. Events outside control</w:t>
      </w:r>
    </w:p>
    <w:p>
      <w:r>
        <w:t>Neither side is responsible for delay caused by events it could not reasonably control, such as storms, hurricanes, flood, fire, war, labor action, government action, internet or utility failure, cyberattack, major vendor outage, epidemic, or postal disruption. Payment for completed work and committed outside costs is still due.</w:t>
      </w:r>
    </w:p>
    <w:p>
      <w:pPr>
        <w:pStyle w:val="Heading1"/>
      </w:pPr>
      <w:r>
        <w:t>22. Disputes and Florida law</w:t>
      </w:r>
    </w:p>
    <w:p>
      <w:r>
        <w:t>The parties will first try in good faith to solve a dispute through a direct meeting or call. If it is not solved within 30 days after written notice, either side may ask for nonbinding mediation in the Florida county where LGD’s principal office is located. The parties will split the mediator’s fee unless they agree otherwise.</w:t>
      </w:r>
    </w:p>
    <w:p>
      <w:r>
        <w:t>Florida law governs this Agreement, without its conflict-of-law rules. Any court case must be filed in a state or federal court with jurisdiction in the Florida county where LGD’s principal office is located. Either side may seek urgent court relief to protect accounts, confidential information, intellectual property, or systems.</w:t>
      </w:r>
    </w:p>
    <w:p>
      <w:r>
        <w:t>The prevailing party in a court action may recover reasonable attorney’s fees and costs only if a court awards them under this Agreement and applicable law.</w:t>
      </w:r>
    </w:p>
    <w:p>
      <w:pPr>
        <w:pStyle w:val="Heading1"/>
      </w:pPr>
      <w:r>
        <w:t>23. Notices</w:t>
      </w:r>
    </w:p>
    <w:p>
      <w:r>
        <w:t>Formal notices must be sent by email to the addresses below, with a copy by nationally recognized delivery service or certified U.S. mail when the notice concerns breach, indemnity, or a lawsuit. A routine cancellation may be sent through the same online method used to sign up, if available, or to LGD’s notice email.</w:t>
      </w:r>
    </w:p>
    <w:p>
      <w:r>
        <w:t>Email notice is effective when sent if no failure message is received. Mailed notice is effective on confirmed delivery. Each side must update its notice information.</w:t>
      </w:r>
    </w:p>
    <w:tbl>
      <w:tblPr>
        <w:tblStyle w:val="TableGrid"/>
        <w:tblW w:type="dxa" w:w="9360"/>
        <w:jc w:val="left"/>
        <w:tblLayout w:type="fixed"/>
        <w:tblLook w:firstColumn="1" w:firstRow="1" w:lastColumn="0" w:lastRow="0" w:noHBand="0" w:noVBand="1" w:val="04A0"/>
        <w:tblInd w:w="120" w:type="dxa"/>
      </w:tblPr>
      <w:tblGrid>
        <w:gridCol w:w="2500"/>
        <w:gridCol w:w="6860"/>
      </w:tblGrid>
      <w:tr>
        <w:trPr>
          <w:cantSplit/>
        </w:trPr>
        <w:tc>
          <w:tcPr>
            <w:tcW w:type="dxa" w:w="2500"/>
            <w:shd w:fill="EAF2F7"/>
            <w:vAlign w:val="center"/>
            <w:tcMar>
              <w:top w:w="90" w:type="dxa"/>
              <w:start w:w="130" w:type="dxa"/>
              <w:bottom w:w="90" w:type="dxa"/>
              <w:end w:w="130" w:type="dxa"/>
            </w:tcMar>
          </w:tcPr>
          <w:p>
            <w:r>
              <w:rPr>
                <w:b/>
              </w:rPr>
              <w:t>LGD notice email / address</w:t>
            </w:r>
          </w:p>
        </w:tc>
        <w:tc>
          <w:tcPr>
            <w:tcW w:type="dxa" w:w="6860"/>
            <w:vAlign w:val="center"/>
            <w:tcMar>
              <w:top w:w="90" w:type="dxa"/>
              <w:start w:w="130" w:type="dxa"/>
              <w:bottom w:w="90" w:type="dxa"/>
              <w:end w:w="130" w:type="dxa"/>
            </w:tcMar>
          </w:tcPr>
          <w:p>
            <w:r>
              <w:t>[EMAIL]  |  [MAILING ADDRESS]</w:t>
            </w:r>
          </w:p>
        </w:tc>
      </w:tr>
      <w:tr>
        <w:trPr>
          <w:cantSplit/>
        </w:trPr>
        <w:tc>
          <w:tcPr>
            <w:tcW w:type="dxa" w:w="2500"/>
            <w:shd w:fill="EAF2F7"/>
            <w:vAlign w:val="center"/>
            <w:tcMar>
              <w:top w:w="90" w:type="dxa"/>
              <w:start w:w="130" w:type="dxa"/>
              <w:bottom w:w="90" w:type="dxa"/>
              <w:end w:w="130" w:type="dxa"/>
            </w:tcMar>
          </w:tcPr>
          <w:p>
            <w:r>
              <w:rPr>
                <w:b/>
              </w:rPr>
              <w:t>Client notice email / address</w:t>
            </w:r>
          </w:p>
        </w:tc>
        <w:tc>
          <w:tcPr>
            <w:tcW w:type="dxa" w:w="6860"/>
            <w:vAlign w:val="center"/>
            <w:tcMar>
              <w:top w:w="90" w:type="dxa"/>
              <w:start w:w="130" w:type="dxa"/>
              <w:bottom w:w="90" w:type="dxa"/>
              <w:end w:w="130" w:type="dxa"/>
            </w:tcMar>
          </w:tcPr>
          <w:p>
            <w:r>
              <w:t>[EMAIL]  |  [MAILING ADDRESS]</w:t>
            </w:r>
          </w:p>
        </w:tc>
      </w:tr>
    </w:tbl>
    <w:p>
      <w:pPr>
        <w:spacing w:after="20"/>
      </w:pPr>
    </w:p>
    <w:p>
      <w:pPr>
        <w:pStyle w:val="Heading1"/>
      </w:pPr>
      <w:r>
        <w:t>24. General terms</w:t>
      </w:r>
    </w:p>
    <w:p>
      <w:r>
        <w:t>The parties are independent businesses. This Agreement does not create employment, a partnership, joint venture, franchise, or agency relationship. Neither side may bind the other.</w:t>
      </w:r>
    </w:p>
    <w:p>
      <w:r>
        <w:t>The Client may not transfer this Agreement without LGD’s written consent, except with a sale of substantially all of the Client’s business if the buyer accepts this Agreement. LGD may use qualified contractors and may transfer the Agreement with a sale or reorganization of LGD.</w:t>
      </w:r>
    </w:p>
    <w:p>
      <w:r>
        <w:t>If one term is unenforceable, it will be limited as needed and the rest will remain in effect. A waiver must be in writing and applies only once. Headings are for convenience. This Agreement may be signed in copies and electronically.</w:t>
      </w:r>
    </w:p>
    <w:p>
      <w:pPr>
        <w:pStyle w:val="Heading1"/>
      </w:pPr>
      <w:r>
        <w:t>25. Policies and electronic records</w:t>
      </w:r>
    </w:p>
    <w:p>
      <w:r>
        <w:t>The Client acknowledges the LGD Billing &amp; Cancellation Policy and Privacy Policy linked or provided at checkout. The version accepted with the Order is part of this Agreement. A later policy change will not change a material price or duty for the current paid period without notice and, when required, consent.</w:t>
      </w:r>
    </w:p>
    <w:p>
      <w:r>
        <w:t>The parties agree to use electronic records and signatures. A typed name, checked acceptance box, click on an “Agree” or payment button, or similar electronic step made with intent to accept counts as a signature. LGD may store the Agreement version, date and time, Client name and business, IP or device data where lawful, Order, and transaction ID, and may provide an electronic copy.</w:t>
      </w:r>
    </w:p>
    <w:p>
      <w:r>
        <w:br w:type="page"/>
      </w:r>
    </w:p>
    <w:p>
      <w:pPr>
        <w:pStyle w:val="Heading1"/>
      </w:pPr>
      <w:r>
        <w:t>Acceptance and signatures</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shd w:fill="EAF2F7"/>
            <w:tcMar>
              <w:top w:w="140" w:type="dxa"/>
              <w:start w:w="180" w:type="dxa"/>
              <w:bottom w:w="140" w:type="dxa"/>
              <w:end w:w="180" w:type="dxa"/>
              <w:top w:w="90" w:type="dxa"/>
              <w:start w:w="130" w:type="dxa"/>
              <w:bottom w:w="90" w:type="dxa"/>
              <w:end w:w="130" w:type="dxa"/>
            </w:tcMar>
          </w:tcPr>
          <w:p>
            <w:r>
              <w:rPr>
                <w:b/>
                <w:color w:val="17324D"/>
              </w:rPr>
              <w:t xml:space="preserve">BY ACCEPTING: </w:t>
            </w:r>
            <w:r>
              <w:t>Each signer says they have authority to bind the named business, have read this Agreement and the Order, understand the month-to-month automatic billing and cancellation terms, and agree to the Billing &amp; Cancellation Policy and Privacy Policy.</w:t>
            </w:r>
          </w:p>
        </w:tc>
      </w:tr>
    </w:tbl>
    <w:p>
      <w:pPr>
        <w:spacing w:after="20"/>
      </w:pPr>
    </w:p>
    <w:p>
      <w:pPr>
        <w:pStyle w:val="Heading2"/>
      </w:pPr>
      <w:r>
        <w:t>Online checkout acceptance</w:t>
      </w:r>
    </w:p>
    <w:tbl>
      <w:tblPr>
        <w:tblStyle w:val="TableGrid"/>
        <w:tblW w:type="dxa" w:w="9360"/>
        <w:jc w:val="left"/>
        <w:tblLayout w:type="fixed"/>
        <w:tblLook w:firstColumn="1" w:firstRow="1" w:lastColumn="0" w:lastRow="0" w:noHBand="0" w:noVBand="1" w:val="04A0"/>
        <w:tblInd w:w="120" w:type="dxa"/>
      </w:tblPr>
      <w:tblGrid>
        <w:gridCol w:w="2500"/>
        <w:gridCol w:w="6860"/>
      </w:tblGrid>
      <w:tr>
        <w:trPr>
          <w:cantSplit/>
        </w:trPr>
        <w:tc>
          <w:tcPr>
            <w:tcW w:type="dxa" w:w="2500"/>
            <w:shd w:fill="EAF2F7"/>
            <w:vAlign w:val="center"/>
            <w:tcMar>
              <w:top w:w="90" w:type="dxa"/>
              <w:start w:w="130" w:type="dxa"/>
              <w:bottom w:w="90" w:type="dxa"/>
              <w:end w:w="130" w:type="dxa"/>
            </w:tcMar>
          </w:tcPr>
          <w:p>
            <w:r>
              <w:rPr>
                <w:b/>
              </w:rPr>
              <w:t>Required checkbox text</w:t>
            </w:r>
          </w:p>
        </w:tc>
        <w:tc>
          <w:tcPr>
            <w:tcW w:type="dxa" w:w="6860"/>
            <w:vAlign w:val="center"/>
            <w:tcMar>
              <w:top w:w="90" w:type="dxa"/>
              <w:start w:w="130" w:type="dxa"/>
              <w:bottom w:w="90" w:type="dxa"/>
              <w:end w:w="130" w:type="dxa"/>
            </w:tcMar>
          </w:tcPr>
          <w:p>
            <w:r>
              <w:t>I have read and agree to the Local Growth Department Service Agreement, Billing &amp; Cancellation Policy, and Privacy Policy. I authorize recurring monthly charges until I cancel.</w:t>
            </w:r>
          </w:p>
        </w:tc>
      </w:tr>
      <w:tr>
        <w:trPr>
          <w:cantSplit/>
        </w:trPr>
        <w:tc>
          <w:tcPr>
            <w:tcW w:type="dxa" w:w="2500"/>
            <w:shd w:fill="EAF2F7"/>
            <w:vAlign w:val="center"/>
            <w:tcMar>
              <w:top w:w="90" w:type="dxa"/>
              <w:start w:w="130" w:type="dxa"/>
              <w:bottom w:w="90" w:type="dxa"/>
              <w:end w:w="130" w:type="dxa"/>
            </w:tcMar>
          </w:tcPr>
          <w:p>
            <w:r>
              <w:rPr>
                <w:b/>
              </w:rPr>
              <w:t>Agreement version</w:t>
            </w:r>
          </w:p>
        </w:tc>
        <w:tc>
          <w:tcPr>
            <w:tcW w:type="dxa" w:w="6860"/>
            <w:vAlign w:val="center"/>
            <w:tcMar>
              <w:top w:w="90" w:type="dxa"/>
              <w:start w:w="130" w:type="dxa"/>
              <w:bottom w:w="90" w:type="dxa"/>
              <w:end w:w="130" w:type="dxa"/>
            </w:tcMar>
          </w:tcPr>
          <w:p>
            <w:r>
              <w:t>Version 1.0 - August 25, 2026</w:t>
            </w:r>
          </w:p>
        </w:tc>
      </w:tr>
      <w:tr>
        <w:trPr>
          <w:cantSplit/>
        </w:trPr>
        <w:tc>
          <w:tcPr>
            <w:tcW w:type="dxa" w:w="2500"/>
            <w:shd w:fill="EAF2F7"/>
            <w:vAlign w:val="center"/>
            <w:tcMar>
              <w:top w:w="90" w:type="dxa"/>
              <w:start w:w="130" w:type="dxa"/>
              <w:bottom w:w="90" w:type="dxa"/>
              <w:end w:w="130" w:type="dxa"/>
            </w:tcMar>
          </w:tcPr>
          <w:p>
            <w:r>
              <w:rPr>
                <w:b/>
              </w:rPr>
              <w:t>Accepted by</w:t>
            </w:r>
          </w:p>
        </w:tc>
        <w:tc>
          <w:tcPr>
            <w:tcW w:type="dxa" w:w="6860"/>
            <w:vAlign w:val="center"/>
            <w:tcMar>
              <w:top w:w="90" w:type="dxa"/>
              <w:start w:w="130" w:type="dxa"/>
              <w:bottom w:w="90" w:type="dxa"/>
              <w:end w:w="130" w:type="dxa"/>
            </w:tcMar>
          </w:tcPr>
          <w:p>
            <w:r>
              <w:t>[FULL NAME]</w:t>
            </w:r>
          </w:p>
        </w:tc>
      </w:tr>
      <w:tr>
        <w:trPr>
          <w:cantSplit/>
        </w:trPr>
        <w:tc>
          <w:tcPr>
            <w:tcW w:type="dxa" w:w="2500"/>
            <w:shd w:fill="EAF2F7"/>
            <w:vAlign w:val="center"/>
            <w:tcMar>
              <w:top w:w="90" w:type="dxa"/>
              <w:start w:w="130" w:type="dxa"/>
              <w:bottom w:w="90" w:type="dxa"/>
              <w:end w:w="130" w:type="dxa"/>
            </w:tcMar>
          </w:tcPr>
          <w:p>
            <w:r>
              <w:rPr>
                <w:b/>
              </w:rPr>
              <w:t>Business</w:t>
            </w:r>
          </w:p>
        </w:tc>
        <w:tc>
          <w:tcPr>
            <w:tcW w:type="dxa" w:w="6860"/>
            <w:vAlign w:val="center"/>
            <w:tcMar>
              <w:top w:w="90" w:type="dxa"/>
              <w:start w:w="130" w:type="dxa"/>
              <w:bottom w:w="90" w:type="dxa"/>
              <w:end w:w="130" w:type="dxa"/>
            </w:tcMar>
          </w:tcPr>
          <w:p>
            <w:r>
              <w:t>[LEGAL NAME / DBA]</w:t>
            </w:r>
          </w:p>
        </w:tc>
      </w:tr>
      <w:tr>
        <w:trPr>
          <w:cantSplit/>
        </w:trPr>
        <w:tc>
          <w:tcPr>
            <w:tcW w:type="dxa" w:w="2500"/>
            <w:shd w:fill="EAF2F7"/>
            <w:vAlign w:val="center"/>
            <w:tcMar>
              <w:top w:w="90" w:type="dxa"/>
              <w:start w:w="130" w:type="dxa"/>
              <w:bottom w:w="90" w:type="dxa"/>
              <w:end w:w="130" w:type="dxa"/>
            </w:tcMar>
          </w:tcPr>
          <w:p>
            <w:r>
              <w:rPr>
                <w:b/>
              </w:rPr>
              <w:t>Email</w:t>
            </w:r>
          </w:p>
        </w:tc>
        <w:tc>
          <w:tcPr>
            <w:tcW w:type="dxa" w:w="6860"/>
            <w:vAlign w:val="center"/>
            <w:tcMar>
              <w:top w:w="90" w:type="dxa"/>
              <w:start w:w="130" w:type="dxa"/>
              <w:bottom w:w="90" w:type="dxa"/>
              <w:end w:w="130" w:type="dxa"/>
            </w:tcMar>
          </w:tcPr>
          <w:p>
            <w:r>
              <w:t>[EMAIL]</w:t>
            </w:r>
          </w:p>
        </w:tc>
      </w:tr>
      <w:tr>
        <w:trPr>
          <w:cantSplit/>
        </w:trPr>
        <w:tc>
          <w:tcPr>
            <w:tcW w:type="dxa" w:w="2500"/>
            <w:shd w:fill="EAF2F7"/>
            <w:vAlign w:val="center"/>
            <w:tcMar>
              <w:top w:w="90" w:type="dxa"/>
              <w:start w:w="130" w:type="dxa"/>
              <w:bottom w:w="90" w:type="dxa"/>
              <w:end w:w="130" w:type="dxa"/>
            </w:tcMar>
          </w:tcPr>
          <w:p>
            <w:r>
              <w:rPr>
                <w:b/>
              </w:rPr>
              <w:t>Acceptance date/time</w:t>
            </w:r>
          </w:p>
        </w:tc>
        <w:tc>
          <w:tcPr>
            <w:tcW w:type="dxa" w:w="6860"/>
            <w:vAlign w:val="center"/>
            <w:tcMar>
              <w:top w:w="90" w:type="dxa"/>
              <w:start w:w="130" w:type="dxa"/>
              <w:bottom w:w="90" w:type="dxa"/>
              <w:end w:w="130" w:type="dxa"/>
            </w:tcMar>
          </w:tcPr>
          <w:p>
            <w:r>
              <w:t>[TIMESTAMP AND TIME ZONE]</w:t>
            </w:r>
          </w:p>
        </w:tc>
      </w:tr>
      <w:tr>
        <w:trPr>
          <w:cantSplit/>
        </w:trPr>
        <w:tc>
          <w:tcPr>
            <w:tcW w:type="dxa" w:w="2500"/>
            <w:shd w:fill="EAF2F7"/>
            <w:vAlign w:val="center"/>
            <w:tcMar>
              <w:top w:w="90" w:type="dxa"/>
              <w:start w:w="130" w:type="dxa"/>
              <w:bottom w:w="90" w:type="dxa"/>
              <w:end w:w="130" w:type="dxa"/>
            </w:tcMar>
          </w:tcPr>
          <w:p>
            <w:r>
              <w:rPr>
                <w:b/>
              </w:rPr>
              <w:t>Order / transaction ID</w:t>
            </w:r>
          </w:p>
        </w:tc>
        <w:tc>
          <w:tcPr>
            <w:tcW w:type="dxa" w:w="6860"/>
            <w:vAlign w:val="center"/>
            <w:tcMar>
              <w:top w:w="90" w:type="dxa"/>
              <w:start w:w="130" w:type="dxa"/>
              <w:bottom w:w="90" w:type="dxa"/>
              <w:end w:w="130" w:type="dxa"/>
            </w:tcMar>
          </w:tcPr>
          <w:p>
            <w:r>
              <w:t>[ID]</w:t>
            </w:r>
          </w:p>
        </w:tc>
      </w:tr>
      <w:tr>
        <w:trPr>
          <w:cantSplit/>
        </w:trPr>
        <w:tc>
          <w:tcPr>
            <w:tcW w:type="dxa" w:w="2500"/>
            <w:shd w:fill="EAF2F7"/>
            <w:vAlign w:val="center"/>
            <w:tcMar>
              <w:top w:w="90" w:type="dxa"/>
              <w:start w:w="130" w:type="dxa"/>
              <w:bottom w:w="90" w:type="dxa"/>
              <w:end w:w="130" w:type="dxa"/>
            </w:tcMar>
          </w:tcPr>
          <w:p>
            <w:r>
              <w:rPr>
                <w:b/>
              </w:rPr>
              <w:t>IP / device record</w:t>
            </w:r>
          </w:p>
        </w:tc>
        <w:tc>
          <w:tcPr>
            <w:tcW w:type="dxa" w:w="6860"/>
            <w:vAlign w:val="center"/>
            <w:tcMar>
              <w:top w:w="90" w:type="dxa"/>
              <w:start w:w="130" w:type="dxa"/>
              <w:bottom w:w="90" w:type="dxa"/>
              <w:end w:w="130" w:type="dxa"/>
            </w:tcMar>
          </w:tcPr>
          <w:p>
            <w:r>
              <w:t>[IF LAWFULLY COLLECTED]</w:t>
            </w:r>
          </w:p>
        </w:tc>
      </w:tr>
    </w:tbl>
    <w:p>
      <w:pPr>
        <w:spacing w:after="20"/>
      </w:pPr>
    </w:p>
    <w:p>
      <w:pPr>
        <w:pStyle w:val="Heading2"/>
      </w:pPr>
      <w:r>
        <w:t>Signature option</w:t>
      </w:r>
    </w:p>
    <w:tbl>
      <w:tblPr>
        <w:tblStyle w:val="TableGrid"/>
        <w:tblW w:type="dxa" w:w="9360"/>
        <w:jc w:val="left"/>
        <w:tblLayout w:type="fixed"/>
        <w:tblLook w:firstColumn="1" w:firstRow="1" w:lastColumn="0" w:lastRow="0" w:noHBand="0" w:noVBand="1" w:val="04A0"/>
        <w:tblInd w:w="120" w:type="dxa"/>
      </w:tblPr>
      <w:tblGrid>
        <w:gridCol w:w="4680"/>
        <w:gridCol w:w="4680"/>
      </w:tblGrid>
      <w:tr>
        <w:trPr>
          <w:tblHeader w:val="true"/>
          <w:cantSplit/>
        </w:trPr>
        <w:tc>
          <w:tcPr>
            <w:tcW w:type="dxa" w:w="4680"/>
            <w:shd w:fill="17324D"/>
            <w:tcMar>
              <w:top w:w="90" w:type="dxa"/>
              <w:start w:w="130" w:type="dxa"/>
              <w:bottom w:w="90" w:type="dxa"/>
              <w:end w:w="130" w:type="dxa"/>
            </w:tcMar>
          </w:tcPr>
          <w:p>
            <w:r>
              <w:rPr>
                <w:b/>
                <w:color w:val="FFFFFF"/>
              </w:rPr>
              <w:t>CLIENT</w:t>
            </w:r>
          </w:p>
        </w:tc>
        <w:tc>
          <w:tcPr>
            <w:tcW w:type="dxa" w:w="4680"/>
            <w:shd w:fill="17324D"/>
            <w:tcMar>
              <w:top w:w="90" w:type="dxa"/>
              <w:start w:w="130" w:type="dxa"/>
              <w:bottom w:w="90" w:type="dxa"/>
              <w:end w:w="130" w:type="dxa"/>
            </w:tcMar>
          </w:tcPr>
          <w:p>
            <w:r>
              <w:rPr>
                <w:b/>
                <w:color w:val="FFFFFF"/>
              </w:rPr>
              <w:t>LOCAL GROWTH DEPARTMENT</w:t>
            </w:r>
          </w:p>
        </w:tc>
      </w:tr>
      <w:tr>
        <w:trPr>
          <w:cantSplit/>
        </w:trPr>
        <w:tc>
          <w:tcPr>
            <w:tcW w:type="dxa" w:w="4680"/>
            <w:tcMar>
              <w:top w:w="90" w:type="dxa"/>
              <w:start w:w="130" w:type="dxa"/>
              <w:bottom w:w="90" w:type="dxa"/>
              <w:end w:w="130" w:type="dxa"/>
            </w:tcMar>
          </w:tcPr>
          <w:p>
            <w:r>
              <w:t>Signature: __________________________</w:t>
            </w:r>
          </w:p>
        </w:tc>
        <w:tc>
          <w:tcPr>
            <w:tcW w:type="dxa" w:w="4680"/>
            <w:tcMar>
              <w:top w:w="90" w:type="dxa"/>
              <w:start w:w="130" w:type="dxa"/>
              <w:bottom w:w="90" w:type="dxa"/>
              <w:end w:w="130" w:type="dxa"/>
            </w:tcMar>
          </w:tcPr>
          <w:p>
            <w:r>
              <w:t>Signature: __________________________</w:t>
            </w:r>
          </w:p>
        </w:tc>
      </w:tr>
      <w:tr>
        <w:trPr>
          <w:cantSplit/>
        </w:trPr>
        <w:tc>
          <w:tcPr>
            <w:tcW w:type="dxa" w:w="4680"/>
            <w:tcMar>
              <w:top w:w="90" w:type="dxa"/>
              <w:start w:w="130" w:type="dxa"/>
              <w:bottom w:w="90" w:type="dxa"/>
              <w:end w:w="130" w:type="dxa"/>
            </w:tcMar>
          </w:tcPr>
          <w:p>
            <w:r>
              <w:t>Name / title: _______________________</w:t>
            </w:r>
          </w:p>
        </w:tc>
        <w:tc>
          <w:tcPr>
            <w:tcW w:type="dxa" w:w="4680"/>
            <w:tcMar>
              <w:top w:w="90" w:type="dxa"/>
              <w:start w:w="130" w:type="dxa"/>
              <w:bottom w:w="90" w:type="dxa"/>
              <w:end w:w="130" w:type="dxa"/>
            </w:tcMar>
          </w:tcPr>
          <w:p>
            <w:r>
              <w:t>Name / title: _______________________</w:t>
            </w:r>
          </w:p>
        </w:tc>
      </w:tr>
      <w:tr>
        <w:trPr>
          <w:cantSplit/>
        </w:trPr>
        <w:tc>
          <w:tcPr>
            <w:tcW w:type="dxa" w:w="4680"/>
            <w:tcMar>
              <w:top w:w="90" w:type="dxa"/>
              <w:start w:w="130" w:type="dxa"/>
              <w:bottom w:w="90" w:type="dxa"/>
              <w:end w:w="130" w:type="dxa"/>
            </w:tcMar>
          </w:tcPr>
          <w:p>
            <w:r>
              <w:t>Date: ______________________________</w:t>
            </w:r>
          </w:p>
        </w:tc>
        <w:tc>
          <w:tcPr>
            <w:tcW w:type="dxa" w:w="4680"/>
            <w:tcMar>
              <w:top w:w="90" w:type="dxa"/>
              <w:start w:w="130" w:type="dxa"/>
              <w:bottom w:w="90" w:type="dxa"/>
              <w:end w:w="130" w:type="dxa"/>
            </w:tcMar>
          </w:tcPr>
          <w:p>
            <w:r>
              <w:t>Date: ______________________________</w:t>
            </w:r>
          </w:p>
        </w:tc>
      </w:tr>
    </w:tbl>
    <w:p/>
    <w:p>
      <w:pPr>
        <w:pStyle w:val="Heading1"/>
      </w:pPr>
      <w:r>
        <w:t>Before first use</w:t>
      </w:r>
    </w:p>
    <w:p>
      <w:pPr>
        <w:pStyle w:val="ListBullet"/>
        <w:spacing w:after="60"/>
        <w:ind w:left="432" w:hanging="259"/>
      </w:pPr>
      <w:r>
        <w:t>Replace every bracketed placeholder with LGD’s correct legal name, address, email, prices, and notice details.</w:t>
      </w:r>
    </w:p>
    <w:p>
      <w:pPr>
        <w:pStyle w:val="ListBullet"/>
        <w:spacing w:after="60"/>
        <w:ind w:left="432" w:hanging="259"/>
      </w:pPr>
      <w:r>
        <w:t>Attach or link the exact Order, Billing &amp; Cancellation Policy, and Privacy Policy used at checkout.</w:t>
      </w:r>
    </w:p>
    <w:p>
      <w:pPr>
        <w:pStyle w:val="ListBullet"/>
        <w:spacing w:after="60"/>
        <w:ind w:left="432" w:hanging="259"/>
      </w:pPr>
      <w:r>
        <w:t>Save the agreement version, acceptance record, Order, receipt, and downloadable copy for each Client.</w:t>
      </w:r>
    </w:p>
    <w:p>
      <w:pPr>
        <w:pStyle w:val="ListBullet"/>
        <w:spacing w:after="60"/>
        <w:ind w:left="432" w:hanging="259"/>
      </w:pPr>
      <w:r>
        <w:t>Have a licensed Florida business attorney review this template when funds allow, especially the liability cap, indemnity, venue, taxes, privacy, direct-mail, texting/email, and audio licensing terms.</w:t>
      </w:r>
    </w:p>
    <w:p>
      <w:pPr>
        <w:pStyle w:val="SmallNote"/>
      </w:pPr>
      <w:r>
        <w:t>Template note: This document is general business information and a practical contract template. It is not a substitute for advice from a lawyer who knows LGD’s legal entity, exact services, customers, county, insurance, and technology.</w:t>
      </w:r>
    </w:p>
    <w:sectPr w:rsidR="00FC693F" w:rsidRPr="0006063C" w:rsidSect="00034616">
      <w:headerReference w:type="default" r:id="rId9"/>
      <w:footerReference w:type="default" r:id="rId10"/>
      <w:pgSz w:w="12240" w:h="15840"/>
      <w:pgMar w:top="1080" w:right="1181" w:bottom="1037" w:left="1181"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D6872"/>
        <w:sz w:val="16"/>
      </w:rPr>
      <w:t xml:space="preserve">LGD Service Agreement  |  Version 1.0 - August 25, 2026  |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D6872"/>
        <w:sz w:val="16"/>
      </w:rPr>
      <w:t>LOCAL GROWTH DEPARTMENT  |  SERVICE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rial" w:hAnsi="Arial"/>
      <w:b/>
      <w:bCs/>
      <w:color w:val="2E6F95"/>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17324D"/>
      <w:sz w:val="23"/>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rial" w:hAnsi="Arial"/>
      <w:b/>
      <w:color w:val="17324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rial" w:hAnsi="Arial"/>
      <w:b w:val="0"/>
      <w:i/>
      <w:iCs/>
      <w:color w:val="5D6872"/>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line="252" w:lineRule="auto"/>
    </w:pPr>
    <w:rPr>
      <w:rFonts w:ascii="Arial" w:hAnsi="Arial"/>
      <w:color w:val="5D6872"/>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Growth Department Service Agreement</dc:title>
  <dc:subject>Plain-language Florida service agreement template</dc:subject>
  <dc:creator>Local Growth Department</dc:creator>
  <cp:keywords>service agreement, Florida, marketing, direct mail, AI, jingle, subscription</cp:keywords>
  <dc:description>generated by python-docx</dc:description>
  <cp:lastModifiedBy/>
  <cp:revision>1</cp:revision>
  <dcterms:created xsi:type="dcterms:W3CDTF">2013-12-23T23:15:00Z</dcterms:created>
  <dcterms:modified xsi:type="dcterms:W3CDTF">2013-12-23T23:15:00Z</dcterms:modified>
  <cp:category/>
</cp:coreProperties>
</file>